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210" w:leftChars="100" w:right="0" w:firstLine="0"/>
        <w:jc w:val="center"/>
        <w:rPr>
          <w:rFonts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48"/>
          <w:szCs w:val="48"/>
          <w:lang w:val="en-US" w:eastAsia="zh-CN" w:bidi="ar"/>
        </w:rPr>
        <w:t>湘西州科学技术局本级2023年部门预算公开</w:t>
      </w:r>
    </w:p>
    <w:p>
      <w:pPr>
        <w:keepNext w:val="0"/>
        <w:keepLines w:val="0"/>
        <w:widowControl/>
        <w:suppressLineNumbers w:val="0"/>
        <w:spacing w:before="0" w:beforeAutospacing="0" w:afterAutospacing="0"/>
        <w:ind w:left="0" w:leftChars="100" w:right="0"/>
        <w:jc w:val="center"/>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目录</w:t>
      </w:r>
    </w:p>
    <w:p>
      <w:pPr>
        <w:keepNext w:val="0"/>
        <w:keepLines w:val="0"/>
        <w:widowControl/>
        <w:suppressLineNumbers w:val="0"/>
        <w:spacing w:before="0" w:beforeAutospacing="0" w:afterAutospacing="0"/>
        <w:ind w:left="0" w:leftChars="100" w:right="0"/>
        <w:jc w:val="center"/>
        <w:rPr>
          <w:rFonts w:hint="eastAsia" w:ascii="宋体" w:hAnsi="宋体" w:eastAsia="宋体" w:cs="宋体"/>
          <w:b/>
          <w:bCs/>
          <w:i w:val="0"/>
          <w:iCs w:val="0"/>
          <w:caps w:val="0"/>
          <w:color w:val="000000"/>
          <w:spacing w:val="0"/>
          <w:kern w:val="0"/>
          <w:sz w:val="32"/>
          <w:szCs w:val="32"/>
          <w:lang w:val="en-US" w:eastAsia="zh-CN" w:bidi="ar"/>
        </w:rPr>
      </w:pP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第一部分2023年部门预算说明</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一、部门基本概况</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（一）职能职责</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（二）机构设置</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（一）机关运行经费</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（二）“三公”经费预算</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（三）</w:t>
      </w:r>
      <w:r>
        <w:rPr>
          <w:rFonts w:hint="eastAsia" w:ascii="宋体" w:hAnsi="宋体" w:eastAsia="宋体" w:cs="宋体"/>
          <w:b/>
          <w:bCs/>
          <w:i w:val="0"/>
          <w:iCs w:val="0"/>
          <w:caps w:val="0"/>
          <w:color w:val="000000"/>
          <w:spacing w:val="0"/>
          <w:kern w:val="0"/>
          <w:sz w:val="32"/>
          <w:szCs w:val="32"/>
          <w:lang w:val="en-US" w:eastAsia="zh-CN" w:bidi="ar"/>
        </w:rPr>
        <w:t>一般性支出情况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（四）政府采购情况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（五）国有资产占用使用及新增资产配置情况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（六）预算绩效目标说明</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七、名词</w:t>
      </w:r>
      <w:r>
        <w:rPr>
          <w:rFonts w:hint="eastAsia" w:ascii="宋体" w:hAnsi="宋体" w:eastAsia="宋体" w:cs="宋体"/>
          <w:b/>
          <w:bCs/>
          <w:i w:val="0"/>
          <w:iCs w:val="0"/>
          <w:caps w:val="0"/>
          <w:color w:val="000000"/>
          <w:spacing w:val="0"/>
          <w:kern w:val="0"/>
          <w:sz w:val="32"/>
          <w:szCs w:val="32"/>
          <w:lang w:val="en-US" w:eastAsia="zh-CN" w:bidi="ar"/>
        </w:rPr>
        <w:t>解释</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第二部分2023年部门预算公开表格</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1、部门预算收支总体情况表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1、收支总表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2</w:t>
      </w:r>
      <w:r>
        <w:rPr>
          <w:rFonts w:hint="eastAsia" w:ascii="宋体" w:hAnsi="宋体" w:eastAsia="宋体" w:cs="宋体"/>
          <w:b/>
          <w:bCs/>
          <w:i w:val="0"/>
          <w:iCs w:val="0"/>
          <w:caps w:val="0"/>
          <w:color w:val="000000"/>
          <w:spacing w:val="0"/>
          <w:kern w:val="0"/>
          <w:sz w:val="32"/>
          <w:szCs w:val="32"/>
          <w:lang w:val="en-US" w:eastAsia="zh-CN" w:bidi="ar"/>
        </w:rPr>
        <w:t>、收入总表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3、支出总表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4、支出预算分类汇总表（按政府预算经济分类）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5、支出预算分类汇总表（按部门预算经济分类）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6、财政拨款收支总表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7、一般公共预算支出表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8、一般公共预算基本</w:t>
      </w:r>
      <w:r>
        <w:rPr>
          <w:rFonts w:hint="eastAsia" w:ascii="宋体" w:hAnsi="宋体" w:eastAsia="宋体" w:cs="宋体"/>
          <w:i w:val="0"/>
          <w:iCs w:val="0"/>
          <w:caps w:val="0"/>
          <w:color w:val="000000"/>
          <w:spacing w:val="0"/>
          <w:kern w:val="0"/>
          <w:sz w:val="32"/>
          <w:szCs w:val="32"/>
          <w:lang w:val="en-US" w:eastAsia="zh-CN" w:bidi="ar"/>
        </w:rPr>
        <w:t>支出表-人员经费（工资福利支出）（按政</w:t>
      </w:r>
      <w:r>
        <w:rPr>
          <w:rFonts w:hint="eastAsia" w:ascii="宋体" w:hAnsi="宋体" w:eastAsia="宋体" w:cs="宋体"/>
          <w:b/>
          <w:bCs/>
          <w:i w:val="0"/>
          <w:iCs w:val="0"/>
          <w:caps w:val="0"/>
          <w:color w:val="000000"/>
          <w:spacing w:val="0"/>
          <w:kern w:val="0"/>
          <w:sz w:val="32"/>
          <w:szCs w:val="32"/>
          <w:lang w:val="en-US" w:eastAsia="zh-CN" w:bidi="ar"/>
        </w:rPr>
        <w:t>府预算经济分类）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9、一般公共</w:t>
      </w:r>
      <w:r>
        <w:rPr>
          <w:rFonts w:hint="eastAsia" w:ascii="宋体" w:hAnsi="宋体" w:eastAsia="宋体" w:cs="宋体"/>
          <w:i w:val="0"/>
          <w:iCs w:val="0"/>
          <w:caps w:val="0"/>
          <w:color w:val="000000"/>
          <w:spacing w:val="0"/>
          <w:kern w:val="0"/>
          <w:sz w:val="32"/>
          <w:szCs w:val="32"/>
          <w:lang w:val="en-US" w:eastAsia="zh-CN" w:bidi="ar"/>
        </w:rPr>
        <w:t>预算基本支出表-人员经费（工资福利支出）（按部</w:t>
      </w:r>
      <w:r>
        <w:rPr>
          <w:rFonts w:hint="eastAsia" w:ascii="宋体" w:hAnsi="宋体" w:eastAsia="宋体" w:cs="宋体"/>
          <w:b/>
          <w:bCs/>
          <w:i w:val="0"/>
          <w:iCs w:val="0"/>
          <w:caps w:val="0"/>
          <w:color w:val="000000"/>
          <w:spacing w:val="0"/>
          <w:kern w:val="0"/>
          <w:sz w:val="32"/>
          <w:szCs w:val="32"/>
          <w:lang w:val="en-US" w:eastAsia="zh-CN" w:bidi="ar"/>
        </w:rPr>
        <w:t>门预算经济分类）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10、一般公共预算基本支出表-人员经费（对个人和家庭的补助）（按政府预算经济分类）</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11、一般公共预算基本支出表-人员经费（对个人和家庭的补助）（按部门预</w:t>
      </w:r>
      <w:r>
        <w:rPr>
          <w:rFonts w:hint="eastAsia" w:ascii="宋体" w:hAnsi="宋体" w:eastAsia="宋体" w:cs="宋体"/>
          <w:i w:val="0"/>
          <w:iCs w:val="0"/>
          <w:caps w:val="0"/>
          <w:color w:val="000000"/>
          <w:spacing w:val="0"/>
          <w:kern w:val="0"/>
          <w:sz w:val="32"/>
          <w:szCs w:val="32"/>
          <w:lang w:val="en-US" w:eastAsia="zh-CN" w:bidi="ar"/>
        </w:rPr>
        <w:t>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12、一般公共预算基本支出表-公用经费（商品和服务支出）（按政府预算经济分类）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13、一般公共预算基本支出表-公用经费（商品和服务支出）（按部门预算经济分类）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14、一般公共预算“三公”经费支出表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15、政府性基金预算支出表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16、政府性基金预算支出分类汇总表（按政府预算经济分类）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17、政府性基金预算支出分类汇总表（按部门预算经济分类）</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18、国有资本经营预算支出表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19、财政专户管理资金预算支出表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20、专项资金预算汇总表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21、其他项目支出绩效目标表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22、部门整体支出绩效目标表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23、政府采购预算表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注：以上部门预算报表中，空表表示本部门无相关收支情况。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p>
    <w:p>
      <w:pPr>
        <w:keepNext w:val="0"/>
        <w:keepLines w:val="0"/>
        <w:widowControl/>
        <w:suppressLineNumbers w:val="0"/>
        <w:spacing w:before="0" w:beforeAutospacing="0" w:afterAutospacing="0"/>
        <w:ind w:left="0" w:leftChars="100" w:right="0"/>
        <w:jc w:val="center"/>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第一部分2023年部门预算说明</w:t>
      </w:r>
    </w:p>
    <w:p>
      <w:pPr>
        <w:keepNext w:val="0"/>
        <w:keepLines w:val="0"/>
        <w:widowControl/>
        <w:suppressLineNumbers w:val="0"/>
        <w:spacing w:before="0" w:beforeAutospacing="0" w:afterAutospacing="0"/>
        <w:ind w:left="0" w:leftChars="100" w:right="0"/>
        <w:jc w:val="left"/>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w:t>
      </w:r>
      <w:r>
        <w:rPr>
          <w:rFonts w:hint="eastAsia" w:ascii="宋体" w:hAnsi="宋体" w:eastAsia="宋体" w:cs="宋体"/>
          <w:b/>
          <w:bCs/>
          <w:i w:val="0"/>
          <w:iCs w:val="0"/>
          <w:caps w:val="0"/>
          <w:color w:val="000000"/>
          <w:spacing w:val="0"/>
          <w:kern w:val="0"/>
          <w:sz w:val="32"/>
          <w:szCs w:val="32"/>
          <w:lang w:val="en-US" w:eastAsia="zh-CN" w:bidi="ar"/>
        </w:rPr>
        <w:t>概况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（一）职能职责</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1、（一）贯彻创新驱动发展战略和创新引领开放崛起战略，拟订全州科技发展、引进国外及国内智力规划和政策并组织实施。</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二）统筹推进全州创新体系建设和科技体制改革，会同有关部门健全技术创新激励机制。优化科研体系建设，指导科研机构改革发展，推动企业科技创新能力建设，承担推进科技军民融合发展相关工作，推进全州重大科技决策咨询制度建设。拟订科学普及和科学传播规划、政策。</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3、（三）牵头建立统一的州级科技管理平台和科研项目资金协调、评估、监管机制。会同有关部门提出优化配置科技资源的政策措施建议，推动多元化科技投入体系建设，协调管理州级财政科技计划（专项、基金等）并监督实施。</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4、（四）拟订全州基础研究规划、政策和标准并组织实施组织协调州级重大基础研究和应用基础研究。拟订重大科技创新基地建设规划并监督实施，参与编制重大科技基础设施建设规划和监督实施，牵头组织州重点实验室等重大科技创新基地建设，推动科研条件保障建设和科技资源开放共享。负责全州实验动物管理工作。</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5、（五）编制州级重大科技项目计划并监督实施，统筹关键共性技术、前沿引领技术、现代工程技术、颠覆性技术研发和创新，牵头组织重大技术攻关和成果应用示范。</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6、（六）组织拟订高新技术发展及产业化、科技促进农业农村和社会发展的规划、政策和措施。组织开展重点领域技术发展需求分析，提出重大任务并监督实施。</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7、（七）牵头州级技术转移体系建设，拟订科技成果转移转化和促进产学研结合的相关政策措施并监督实施。指导科技服务业、技术市场、科技金融结合和科技中介组织发展。</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8、（八）统筹区城科技创新体系建设，指导区域创新发展、科技资源合理布局和协同创新能力建设，推动科技园区建设。</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9、（九）负责科技监督评价体系建设和相关科技评估管理，指导科技评价机制改革，统筹科研诚信建设。组织实施全州创新调查和科技报告制度，指导全州科技保密工作。</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10、（十）拟订科技对外交往与创新能力开放合作的规划、政策和措施，组织开展国际和区域科技合作与科技人才交流。指导相关部门和地方对外科技合作与科技人才交流工作。</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11、（十一）负责引进国外和国内智力工作。拟订全州重点引进外国专家总体规划、计划并组织实施，建立国外和国内顶尖科学家、团队吸引集聚机制和重点国内外专家联系服务机制。拟订出国（境）培训总体规划、政策和年度计划并监督实施。</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12、（十二）会同有关部门拟订科技人才队伍建设规划和政策，建立健全科技人才评价和激励机制，组织实施科技人才计划，推动高端科技创新人才队伍建设。</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13、（十三）完成州委、州政府交办的其他任务。</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（二）机构设置</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湘西州科学技术局本级内设机构8个包括：办公室、规划与政策法规科、科技监督与诚信建设科、高新技术与成果转化科、农村科技与社会发展科、科技创新人才工作办公室（湘西土家族苗族自治州外国专家局）、机关党委、离退休人员管理服务科。本部门共有编制人数21人,实有人数21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本部门预算为汇总预算，纳入编制范围内的预算单位包括：1、湘西州科学技术局本级本级。2、湘西州科学技术局本级。湘西州科学技术局本级为正处级行政单位。</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一）收入预算：包括一般公共预算拨款、政府性基金收入、上级补助收入，以及经营收入、事业收入等单位资金。2023年本部门收入预算518.58万元，其中：一般公共预算拨款收入518.58万元。收入较去年增加148.54万元，主要是人员经费增加。</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（二）支出预算：2023年本部门支出预算518.58万元，其中，科学技术支出403.42万元，社会保障和就业支出62.24万元，卫生健康支出19.82万元，住房保障支出33.1万元。支出较去年增加148.54万元，主要是人员经费增加。</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一般公共预算拨款支出预算518.58万元，其中，科学技术支出403.42万元，占77.79%；社会保障和就业支出62.24万元，占12%；卫生健康支出19.82万元，占3.82%；住房保障支出33.1万元，占6.38%。具体安排情况如下：</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一）基本支出：2023年本部门基本支出预算数478.58万元，主要是为保障部门正常运转、完成日常工作任务而发生的各项支出，包括用于工资福利支出等人员经费以及办公费、印刷费、水电费、办公设备购置等公用经费。</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二）项目支出：2023年本部门项目支出预算40万元，主要是部门为完成特定行政工作任务或事业发展目标而发生的支出，包括有关事业发展专项、专项业务费、基本建设支出等，其中：一般行政管理事务40万元，主要用于用于一是开展科技项目挂钩对接，联合国内高校和科研院所，组建一批重点实验室、工程技术中心、创建星创开地； 二是加快农业科技成果转化，推动农村产业结构调整，开展科技活动周，科技“三下乡”；三是实施高端引领，促进产业升级，抓好国家高新区申创，开展外国专家活动，招开外国专家及外专引智会议，湖湘人才等等方面。</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2023年本部门无政府性基金安排的支出。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（一）机关运行经费</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2023年本部门机关运行经费70.09万元，比上年预算增加10.65万元，比上年预算上升17.92%，主要是包含离退休人员商品服务支出。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（二）“三公”经费预算</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三公”经费预算数为9万元，其中，公务接待费7万元，公务用车购置及运行费2万元（其中，公务用车购置费0万元，公务用车运行费2万元），因公出国（境）费0万元。2023年“三公”经费预算较2022年减少5万元，主要是公务运行费减少。</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（三）一般性支出情况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会议费预算5万元，拟召开科技创新主题会议、能力提升会议、功尖战会议、科技信用贷款风险会议等，人数300人，会议内容为围绕科技工作目标任务，狠抓高质量发展、创新平台创建、专家服务团、国家高新区创建等；培训费预算3.7万元，拟开展业务能力提升培训、党校培训，人数10人，培训内容为业务能力提升培训、党校培训；未拟举办节庆、晚会、论坛、赛事活动等。 </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（四）政府采购情况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2023年本部门政府采购预算总额4.4万元，其中，货物类采购预算4.4万元；工程类采购预算0万元；服务类采购预算0万元。</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（五）国有资产占用使用及新增资产配置情况</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截至2022年12月底，本部门共有公务用车1辆，其中，机要通信用车0辆，应急保障用车1辆，执法执勤用车0辆，特种专业技术用车0辆，其他按照规定配备的公务用车0辆；单位价值50万元以上通用设备0台，单位价值100万元以上专用设备0台。2023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（六）预算绩效目标说明</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本部门所有支出实行绩效目标管理。纳入2023年部门整体支出绩效目标的金额为518.58万元，其中，基本支出478.58万元，项目支出40万元，具体绩效目标详见报表。</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七、名词解释</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1、基本支出：是指为保障机构正常运转、完成日常工作任务而发生的各项支出，包括用于基本工资、津贴补贴等人员经费以及办公费、印刷费、水电费、办公设备购置等日常公用经费。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2、项目支出：是指在基本支出之外为完成特定行政工作任务和事业发展目标而发生的支出。</w:t>
      </w:r>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bookmarkStart w:id="0" w:name="_GoBack"/>
      <w:bookmarkEnd w:id="0"/>
    </w:p>
    <w:p>
      <w:pPr>
        <w:keepNext w:val="0"/>
        <w:keepLines w:val="0"/>
        <w:widowControl/>
        <w:suppressLineNumbers w:val="0"/>
        <w:spacing w:before="0" w:beforeAutospacing="0" w:afterAutospacing="0"/>
        <w:ind w:left="0" w:leftChars="100" w:right="0"/>
        <w:jc w:val="left"/>
        <w:rPr>
          <w:rFonts w:hint="eastAsia"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ZjZhODkzMThiNDFmNTVkM2EwNTU2OTZhMGZmMWIifQ=="/>
    <w:docVar w:name="KSO_WPS_MARK_KEY" w:val="07f59dc5-89b3-450d-a0f0-9857aa59739b"/>
  </w:docVars>
  <w:rsids>
    <w:rsidRoot w:val="52125A7D"/>
    <w:rsid w:val="5212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2023-03-10T09:14:00Z</dcterms:created>
  <dc:creator>Administrator</dc:creator>
  <cp:lastModifiedBy>Administrator</cp:lastModifiedBy>
  <dcterms:modified xsi:type="dcterms:W3CDTF">2023-03-10T09:25:17Z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A3FB30DD34134AAEAE1130621F2DF153</vt:lpwstr>
  </property>
</Properties>
</file>